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i/>
          <w:i/>
          <w:iCs/>
          <w:color w:val="FF0000"/>
          <w:szCs w:val="20"/>
        </w:rPr>
      </w:pPr>
      <w:r>
        <w:rPr>
          <w:rFonts w:cs="Arial"/>
          <w:b/>
          <w:bCs/>
          <w:i/>
          <w:iCs/>
          <w:color w:val="FF0000"/>
          <w:szCs w:val="20"/>
        </w:rPr>
        <w:drawing>
          <wp:anchor behindDoc="0" distT="0" distB="6350" distL="114935" distR="114935" simplePos="0" locked="0" layoutInCell="1" allowOverlap="1" relativeHeight="2">
            <wp:simplePos x="0" y="0"/>
            <wp:positionH relativeFrom="margin">
              <wp:align>center</wp:align>
            </wp:positionH>
            <wp:positionV relativeFrom="paragraph">
              <wp:posOffset>635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79" t="-80" r="-79" b="-80"/>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4º BATALHÃO DE AVIAÇÃO DO EXÉRCITO</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spacing w:lineRule="auto" w:line="276"/>
        <w:jc w:val="center"/>
        <w:rPr/>
      </w:pPr>
      <w:r>
        <w:rPr>
          <w:rFonts w:cs="Arial"/>
          <w:b/>
          <w:bCs/>
          <w:color w:val="000000" w:themeColor="text1"/>
          <w:szCs w:val="20"/>
        </w:rPr>
        <w:t xml:space="preserve">AVISO DE DISPENSA ELETRÔNICA Nº </w:t>
      </w:r>
      <w:r>
        <w:rPr>
          <w:rFonts w:cs="Arial"/>
          <w:b/>
          <w:bCs/>
          <w:color w:val="000000" w:themeColor="text1"/>
          <w:szCs w:val="20"/>
        </w:rPr>
        <w:t>18</w:t>
      </w:r>
      <w:r>
        <w:rPr>
          <w:rFonts w:cs="Arial"/>
          <w:b/>
          <w:bCs/>
          <w:color w:val="000000" w:themeColor="text1"/>
          <w:szCs w:val="20"/>
        </w:rPr>
        <w:t>/2022</w:t>
      </w:r>
    </w:p>
    <w:p>
      <w:pPr>
        <w:pStyle w:val="Normal"/>
        <w:spacing w:lineRule="auto" w:line="276" w:before="0" w:after="120"/>
        <w:ind w:right="-15" w:hanging="0"/>
        <w:jc w:val="center"/>
        <w:rPr/>
      </w:pPr>
      <w:r>
        <w:rPr>
          <w:rFonts w:cs="Arial"/>
          <w:b/>
          <w:bCs/>
          <w:color w:val="000000" w:themeColor="text1"/>
          <w:szCs w:val="20"/>
        </w:rPr>
        <w:t xml:space="preserve">(Processo Administrativo n° </w:t>
      </w:r>
      <w:r>
        <w:rPr>
          <w:b/>
          <w:w w:val="105"/>
          <w:position w:val="1"/>
        </w:rPr>
        <w:t>64020.00</w:t>
      </w:r>
      <w:r>
        <w:rPr>
          <w:b/>
          <w:w w:val="105"/>
          <w:position w:val="1"/>
        </w:rPr>
        <w:t>0618</w:t>
      </w:r>
      <w:r>
        <w:rPr>
          <w:b/>
          <w:w w:val="105"/>
          <w:position w:val="1"/>
        </w:rPr>
        <w:t>/2022-</w:t>
      </w:r>
      <w:r>
        <w:rPr>
          <w:b/>
          <w:w w:val="105"/>
          <w:position w:val="1"/>
        </w:rPr>
        <w:t>38</w:t>
      </w:r>
      <w:r>
        <w:rPr>
          <w:rFonts w:cs="Arial"/>
          <w:b/>
          <w:bCs/>
          <w:color w:val="000000" w:themeColor="text1"/>
          <w:szCs w:val="20"/>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 (a) </w:t>
      </w:r>
      <w:r>
        <w:rPr>
          <w:rFonts w:eastAsia="Arial" w:cs="Arial"/>
          <w:color w:val="000000" w:themeColor="text1"/>
          <w:szCs w:val="20"/>
        </w:rPr>
        <w:t>4° BATALHÃO DE AVIAÇÃO DO EXÉRCITO - 4° BAvEx</w:t>
      </w:r>
      <w:r>
        <w:rPr>
          <w:rFonts w:cs="Arial"/>
          <w:color w:val="000000" w:themeColor="text1"/>
          <w:szCs w:val="20"/>
        </w:rPr>
        <w:t xml:space="preserve">, por meio do(a) </w:t>
      </w:r>
      <w:r>
        <w:rPr>
          <w:rFonts w:eastAsia="Arial" w:cs="Arial"/>
          <w:color w:val="000000" w:themeColor="text1"/>
          <w:szCs w:val="20"/>
        </w:rPr>
        <w:t>Seção de Aquisições, Licitações e Contratos</w:t>
      </w:r>
      <w:r>
        <w:rPr>
          <w:rFonts w:cs="Arial"/>
          <w:color w:val="000000" w:themeColor="text1"/>
          <w:szCs w:val="20"/>
        </w:rPr>
        <w:t xml:space="preserve">, realizará Dispensa Eletrônica, </w:t>
      </w:r>
      <w:r>
        <w:rPr>
          <w:rFonts w:cs="Arial"/>
          <w:bCs/>
          <w:color w:val="000000" w:themeColor="text1"/>
          <w:szCs w:val="20"/>
        </w:rPr>
        <w:t xml:space="preserve">com critério de julgamento </w:t>
      </w:r>
      <w:r>
        <w:rPr>
          <w:rFonts w:cs="Arial"/>
          <w:b/>
          <w:color w:val="000000" w:themeColor="text1"/>
          <w:szCs w:val="20"/>
        </w:rPr>
        <w:t>menor preço</w:t>
      </w:r>
      <w:r>
        <w:rPr>
          <w:rFonts w:cs="Arial"/>
          <w:b/>
          <w:bCs/>
          <w:color w:val="000000" w:themeColor="text1"/>
          <w:szCs w:val="20"/>
        </w:rPr>
        <w:t xml:space="preserve">, </w:t>
      </w:r>
      <w:r>
        <w:rPr>
          <w:rFonts w:cs="Arial"/>
          <w:color w:val="000000" w:themeColor="text1"/>
          <w:szCs w:val="20"/>
        </w:rPr>
        <w:t>na hipótese do art. 75</w:t>
      </w:r>
      <w:r>
        <w:rPr>
          <w:rFonts w:cs="Arial"/>
          <w:i/>
          <w:iCs/>
          <w:color w:val="000000" w:themeColor="text1"/>
          <w:szCs w:val="20"/>
        </w:rPr>
        <w:t xml:space="preserve">, </w:t>
      </w:r>
      <w:r>
        <w:rPr>
          <w:rFonts w:cs="Arial"/>
          <w:b/>
          <w:iCs/>
          <w:color w:val="000000" w:themeColor="text1"/>
          <w:szCs w:val="20"/>
        </w:rPr>
        <w:t>inciso  II</w:t>
      </w:r>
      <w:r>
        <w:rPr>
          <w:rFonts w:cs="Arial"/>
          <w:i/>
          <w:iCs/>
          <w:color w:val="000000" w:themeColor="text1"/>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themeColor="text1"/>
          <w:szCs w:val="20"/>
        </w:rPr>
        <w:t xml:space="preserve">Data da sessão: </w:t>
      </w:r>
      <w:r>
        <w:rPr>
          <w:rFonts w:cs="Arial"/>
          <w:color w:val="000000" w:themeColor="text1"/>
          <w:szCs w:val="20"/>
        </w:rPr>
        <w:t>12</w:t>
      </w:r>
      <w:r>
        <w:rPr>
          <w:rFonts w:cs="Arial"/>
          <w:color w:val="000000"/>
          <w:szCs w:val="20"/>
        </w:rPr>
        <w:t>/0</w:t>
      </w:r>
      <w:r>
        <w:rPr>
          <w:rFonts w:cs="Arial"/>
          <w:color w:val="000000"/>
          <w:szCs w:val="20"/>
        </w:rPr>
        <w:t>5</w:t>
      </w:r>
      <w:r>
        <w:rPr>
          <w:rFonts w:cs="Arial"/>
          <w:color w:val="000000"/>
          <w:szCs w:val="20"/>
        </w:rPr>
        <w:t>/2022</w:t>
      </w:r>
    </w:p>
    <w:p>
      <w:pPr>
        <w:pStyle w:val="Normal"/>
        <w:rPr>
          <w:rFonts w:cs="Arial"/>
          <w:color w:val="000000" w:themeColor="text1"/>
          <w:szCs w:val="20"/>
        </w:rPr>
      </w:pPr>
      <w:r>
        <w:rPr>
          <w:rFonts w:cs="Arial"/>
          <w:color w:val="000000" w:themeColor="text1"/>
          <w:szCs w:val="20"/>
        </w:rPr>
        <w:t>Link: www.comprasgovernamentais.gov.br</w:t>
      </w:r>
    </w:p>
    <w:p>
      <w:pPr>
        <w:pStyle w:val="Normal"/>
        <w:rPr>
          <w:rFonts w:cs="Arial"/>
          <w:color w:val="000000" w:themeColor="text1"/>
          <w:szCs w:val="20"/>
        </w:rPr>
      </w:pPr>
      <w:r>
        <w:rPr>
          <w:rFonts w:cs="Arial"/>
          <w:color w:val="000000" w:themeColor="text1"/>
          <w:szCs w:val="20"/>
        </w:rPr>
        <w:t>Horário da Fase de Lances: 8:00 (horário de Brasília)</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p>
    <w:p>
      <w:pPr>
        <w:pStyle w:val="PADRO"/>
        <w:keepNext w:val="false"/>
        <w:widowControl/>
        <w:numPr>
          <w:ilvl w:val="1"/>
          <w:numId w:val="1"/>
        </w:numPr>
        <w:shd w:val="clear" w:color="auto" w:fill="auto"/>
        <w:spacing w:before="120" w:after="120"/>
        <w:rPr/>
      </w:pPr>
      <w:r>
        <w:rPr>
          <w:rFonts w:cs="Arial" w:ascii="Arial" w:hAnsi="Arial"/>
          <w:color w:val="000000" w:themeColor="text1"/>
          <w:szCs w:val="20"/>
        </w:rPr>
        <w:t xml:space="preserve">O objeto da presente dispensa é a escolha da proposta mais vantajosa para a contratação de </w:t>
      </w:r>
      <w:r>
        <w:rPr>
          <w:rFonts w:cs="Arial" w:ascii="Arial" w:hAnsi="Arial"/>
          <w:b/>
          <w:bCs/>
          <w:color w:val="000000" w:themeColor="text1"/>
          <w:szCs w:val="20"/>
        </w:rPr>
        <w:t xml:space="preserve">Serviço de </w:t>
      </w:r>
      <w:r>
        <w:rPr>
          <w:rFonts w:cs="Arial" w:ascii="Arial" w:hAnsi="Arial"/>
          <w:b/>
          <w:bCs/>
          <w:color w:val="000000" w:themeColor="text1"/>
          <w:szCs w:val="20"/>
        </w:rPr>
        <w:t>Dosimetria de Radiação</w:t>
      </w:r>
      <w:r>
        <w:rPr>
          <w:rFonts w:cs="Arial" w:ascii="Arial" w:hAnsi="Arial"/>
          <w:b/>
          <w:bCs/>
          <w:color w:val="000000" w:themeColor="text1"/>
          <w:szCs w:val="20"/>
        </w:rPr>
        <w:t xml:space="preserve"> </w:t>
      </w:r>
      <w:r>
        <w:rPr>
          <w:rFonts w:cs="Arial" w:ascii="Arial" w:hAnsi="Arial"/>
          <w:color w:val="000000" w:themeColor="text1"/>
          <w:szCs w:val="20"/>
        </w:rPr>
        <w:t>do</w:t>
      </w:r>
      <w:bookmarkStart w:id="0" w:name="_GoBack"/>
      <w:bookmarkEnd w:id="0"/>
      <w:r>
        <w:rPr>
          <w:rFonts w:cs="Arial" w:ascii="Arial" w:hAnsi="Arial"/>
          <w:color w:val="000000" w:themeColor="text1"/>
          <w:szCs w:val="20"/>
        </w:rPr>
        <w:t xml:space="preserve"> 4° B Av Ex,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cs="Arial"/>
          <w:szCs w:val="20"/>
        </w:rPr>
      </w:pPr>
      <w:r>
        <w:rPr>
          <w:rFonts w:cs="Arial" w:ascii="Arial" w:hAnsi="Arial"/>
          <w:iCs/>
          <w:color w:val="000000" w:themeColor="text1"/>
          <w:szCs w:val="20"/>
        </w:rPr>
        <w:t>A contratação ocorrerá em item único</w:t>
      </w:r>
      <w:r>
        <w:rPr>
          <w:rFonts w:cs="Arial" w:ascii="Arial" w:hAnsi="Arial"/>
          <w:b/>
          <w:bCs/>
          <w:iCs/>
          <w:color w:val="000000" w:themeColor="text1"/>
          <w:szCs w:val="20"/>
        </w:rPr>
        <w:t>,</w:t>
      </w:r>
      <w:r>
        <w:rPr>
          <w:rFonts w:cs="Arial" w:ascii="Arial" w:hAnsi="Arial"/>
          <w:iCs/>
          <w:color w:val="000000" w:themeColor="text1"/>
          <w:szCs w:val="20"/>
        </w:rPr>
        <w:t xml:space="preserve"> conforme tabela constante abaixo</w:t>
      </w:r>
      <w:r>
        <w:rPr>
          <w:rFonts w:cs="Arial" w:ascii="Arial" w:hAnsi="Arial"/>
          <w:i/>
          <w:iCs/>
          <w:color w:val="FF0000"/>
          <w:szCs w:val="20"/>
        </w:rPr>
        <w:t>.</w:t>
      </w:r>
    </w:p>
    <w:tbl>
      <w:tblPr>
        <w:tblW w:w="10158" w:type="dxa"/>
        <w:jc w:val="left"/>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000"/>
      </w:tblPr>
      <w:tblGrid>
        <w:gridCol w:w="675"/>
        <w:gridCol w:w="4096"/>
        <w:gridCol w:w="1276"/>
        <w:gridCol w:w="851"/>
        <w:gridCol w:w="1700"/>
        <w:gridCol w:w="1559"/>
      </w:tblGrid>
      <w:tr>
        <w:trPr>
          <w:trHeight w:val="1064" w:hRule="atLeast"/>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Item</w:t>
            </w:r>
          </w:p>
        </w:tc>
        <w:tc>
          <w:tcPr>
            <w:tcW w:w="40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Descrição detalhada</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Unidade</w:t>
            </w:r>
          </w:p>
        </w:tc>
        <w:tc>
          <w:tcPr>
            <w:tcW w:w="85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Qtd</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unitário de referência</w:t>
            </w:r>
          </w:p>
        </w:tc>
        <w:tc>
          <w:tcPr>
            <w:tcW w:w="15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2F2F2" w:val="clear"/>
            <w:tcMar>
              <w:left w:w="-5" w:type="dxa"/>
              <w:right w:w="10" w:type="dxa"/>
            </w:tcM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total</w:t>
            </w:r>
          </w:p>
          <w:p>
            <w:pPr>
              <w:pStyle w:val="Standard"/>
              <w:spacing w:lineRule="auto" w:line="240" w:before="0" w:after="0"/>
              <w:jc w:val="center"/>
              <w:rPr>
                <w:rFonts w:ascii="Times New Roman" w:hAnsi="Times New Roman" w:cs="Times New Roman"/>
                <w:b/>
                <w:b/>
              </w:rPr>
            </w:pPr>
            <w:r>
              <w:rPr>
                <w:rFonts w:cs="Times New Roman" w:ascii="Times New Roman" w:hAnsi="Times New Roman"/>
                <w:b/>
              </w:rPr>
              <w:t xml:space="preserve">de referência </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cs="Times New Roman"/>
                <w:color w:val="000000" w:themeColor="text1"/>
              </w:rPr>
            </w:pPr>
            <w:r>
              <w:rPr>
                <w:rFonts w:cs="Times New Roman" w:ascii="Times New Roman" w:hAnsi="Times New Roman"/>
                <w:color w:val="000000" w:themeColor="text1"/>
              </w:rPr>
              <w:t>01</w:t>
            </w:r>
          </w:p>
        </w:tc>
        <w:tc>
          <w:tcPr>
            <w:tcW w:w="40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both"/>
              <w:rPr/>
            </w:pPr>
            <w:bookmarkStart w:id="1" w:name="__DdeLink__430_3255594472"/>
            <w:r>
              <w:rPr>
                <w:rFonts w:cs="Times New Roman" w:ascii="Times New Roman" w:hAnsi="Times New Roman"/>
                <w:color w:val="000000" w:themeColor="text1"/>
              </w:rPr>
              <w:t>Execução dos serviços de Dosimetria de Radiação com fornecimento de 02 (dois) dosímetros, modelo TSL e 01 (um) padrão, totalizando 03 (três) dosímetros / mensal para medicação de exposição recebida pelas dentistas do 4º Batalhão de Aviação do Exército, por um período de 12 (doze) meses.</w:t>
            </w:r>
            <w:bookmarkEnd w:id="1"/>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cs="Times New Roman"/>
                <w:color w:val="000000" w:themeColor="text1"/>
              </w:rPr>
            </w:pPr>
            <w:r>
              <w:rPr>
                <w:rFonts w:cs="Times New Roman" w:ascii="Times New Roman" w:hAnsi="Times New Roman"/>
                <w:color w:val="000000" w:themeColor="text1"/>
              </w:rPr>
              <w:t>Sv</w:t>
            </w:r>
          </w:p>
        </w:tc>
        <w:tc>
          <w:tcPr>
            <w:tcW w:w="85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pPr>
            <w:r>
              <w:rPr>
                <w:rFonts w:cs="Times New Roman" w:ascii="Times New Roman" w:hAnsi="Times New Roman"/>
                <w:color w:val="000000" w:themeColor="text1"/>
              </w:rPr>
              <w:t>36</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pPr>
            <w:r>
              <w:rPr>
                <w:rFonts w:cs="Times New Roman" w:ascii="Times New Roman" w:hAnsi="Times New Roman"/>
                <w:color w:val="000000" w:themeColor="text1"/>
              </w:rPr>
              <w:t xml:space="preserve">R$ </w:t>
            </w:r>
            <w:bookmarkStart w:id="2" w:name="__DdeLink__860_547686868"/>
            <w:r>
              <w:rPr>
                <w:rFonts w:cs="Times New Roman" w:ascii="Times New Roman" w:hAnsi="Times New Roman"/>
                <w:color w:val="000000" w:themeColor="text1"/>
              </w:rPr>
              <w:t>2</w:t>
            </w:r>
            <w:bookmarkEnd w:id="2"/>
            <w:r>
              <w:rPr>
                <w:rFonts w:cs="Times New Roman" w:ascii="Times New Roman" w:hAnsi="Times New Roman"/>
                <w:color w:val="000000" w:themeColor="text1"/>
              </w:rPr>
              <w:t>3,83</w:t>
            </w:r>
          </w:p>
        </w:tc>
        <w:tc>
          <w:tcPr>
            <w:tcW w:w="15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pPr>
            <w:r>
              <w:rPr>
                <w:rFonts w:cs="Times New Roman" w:ascii="Times New Roman" w:hAnsi="Times New Roman"/>
                <w:color w:val="000000" w:themeColor="text1"/>
              </w:rPr>
              <w:t xml:space="preserve">R$ </w:t>
            </w:r>
            <w:r>
              <w:rPr>
                <w:rFonts w:cs="Times New Roman" w:ascii="Times New Roman" w:hAnsi="Times New Roman"/>
                <w:color w:val="000000" w:themeColor="text1"/>
              </w:rPr>
              <w:t>857,88</w:t>
            </w:r>
          </w:p>
        </w:tc>
      </w:tr>
    </w:tbl>
    <w:p>
      <w:pPr>
        <w:pStyle w:val="PADRO"/>
        <w:keepNext w:val="false"/>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 xml:space="preserve">O critério de julgamento adotado será o </w:t>
      </w:r>
      <w:r>
        <w:rPr>
          <w:rFonts w:cs="Arial" w:ascii="Arial" w:hAnsi="Arial"/>
          <w:iCs/>
          <w:color w:val="000000" w:themeColor="text1"/>
          <w:szCs w:val="20"/>
        </w:rPr>
        <w:t xml:space="preserve">menor preço, </w:t>
      </w:r>
      <w:r>
        <w:rPr>
          <w:rFonts w:cs="Arial" w:ascii="Arial" w:hAnsi="Arial"/>
          <w:szCs w:val="20"/>
        </w:rPr>
        <w:t>observadas as exigências contidas neste Aviso de Contratação Direta e seus Anexos quanto às especificações do objeto.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snapToGrid w:val="false"/>
        <w:spacing w:lineRule="auto" w:line="276" w:before="120" w:after="120"/>
        <w:ind w:left="425" w:hanging="0"/>
        <w:jc w:val="both"/>
        <w:rPr>
          <w:rFonts w:cs="Arial"/>
          <w:szCs w:val="20"/>
        </w:rPr>
      </w:pPr>
      <w:r>
        <w:rPr>
          <w:rFonts w:cs="Arial"/>
          <w:szCs w:val="20"/>
        </w:rPr>
        <w:t xml:space="preserve">2.1. 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Comprasnet 4.0, disponível no </w:t>
      </w:r>
      <w:r>
        <w:rPr>
          <w:rFonts w:cs="Arial"/>
          <w:bCs/>
          <w:szCs w:val="20"/>
        </w:rPr>
        <w:t xml:space="preserve">endereço eletrônico do </w:t>
      </w:r>
      <w:r>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 xml:space="preserve">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rFonts w:cs="Arial"/>
          <w:i/>
          <w:i/>
          <w:color w:val="000000" w:themeColor="text1"/>
          <w:szCs w:val="20"/>
        </w:rPr>
      </w:pPr>
      <w:r>
        <w:rPr>
          <w:rFonts w:cs="Arial"/>
          <w:color w:val="000000" w:themeColor="text1"/>
          <w:szCs w:val="20"/>
        </w:rPr>
        <w:t xml:space="preserve"> </w:t>
      </w:r>
      <w:r>
        <w:rPr>
          <w:rFonts w:cs="Arial"/>
          <w:color w:val="000000" w:themeColor="text1"/>
          <w:szCs w:val="20"/>
        </w:rPr>
        <w:t>sociedades cooperativas</w:t>
      </w:r>
      <w:r>
        <w:rPr>
          <w:rFonts w:cs="Arial"/>
          <w:i/>
          <w:color w:val="000000" w:themeColor="text1"/>
          <w:szCs w:val="20"/>
        </w:rPr>
        <w:t>.</w:t>
      </w:r>
      <w:bookmarkStart w:id="3" w:name="_Hlk519667815"/>
      <w:bookmarkEnd w:id="3"/>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b/>
          <w:color w:val="000000" w:themeColor="text1"/>
          <w:szCs w:val="20"/>
        </w:rPr>
        <w:t>Termo de Referência</w:t>
      </w:r>
      <w:r>
        <w:rPr>
          <w:rFonts w:cs="Arial"/>
          <w:i/>
          <w:color w:val="000000" w:themeColor="text1"/>
          <w:szCs w:val="20"/>
        </w:rPr>
        <w:t xml:space="preserve">, </w:t>
      </w:r>
      <w:r>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iCs/>
          <w:color w:val="000000" w:themeColor="text1"/>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60 (sessenta)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themeColor="text1"/>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para assinatura do contrato ou aceitação da nota de empenho ou instrumento equivalente poderá ser prorrogado</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themeColor="text1"/>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até 31 de dezembro de 2021, prorrogável conforme previsão nos anexos a este Aviso de Contratação Direta.</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Cs w:val="20"/>
        </w:rPr>
        <w:t xml:space="preserve">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stLabel73"/>
        </w:rPr>
        <w:instrText> HYPERLINK "http://www.planalto.gov.br/ccivil_03/_Ato2011-2014/2013/Lei/L12846.htm" \l "art5"</w:instrText>
      </w:r>
      <w:r>
        <w:rPr>
          <w:rStyle w:val="ListLabel73"/>
        </w:rPr>
        <w:fldChar w:fldCharType="separate"/>
      </w:r>
      <w:r>
        <w:rPr>
          <w:rStyle w:val="ListLabel73"/>
          <w:color w:val="000000"/>
        </w:rPr>
        <w:t>art. 5º da Lei nº 12.846, de 1º de agosto de 2013.</w:t>
      </w:r>
      <w:r>
        <w:rPr>
          <w:rStyle w:val="ListLabel73"/>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rFonts w:cs="Arial"/>
        </w:rPr>
      </w:pPr>
      <w:r>
        <w:rPr>
          <w:rFonts w:cs="Arial"/>
        </w:rPr>
        <w:t xml:space="preserve">Multa de </w:t>
      </w:r>
      <w:r>
        <w:rPr>
          <w:rFonts w:cs="Arial"/>
          <w:color w:val="000000" w:themeColor="text1"/>
        </w:rPr>
        <w:t>20% (vinte por cento) so</w:t>
      </w:r>
      <w:r>
        <w:rPr>
          <w:rFonts w:cs="Arial"/>
        </w:rPr>
        <w:t>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4" w:name="art156%252525C2%252525A76"/>
      <w:bookmarkStart w:id="5" w:name="art156%252525C2%252525A77"/>
      <w:bookmarkStart w:id="6" w:name="art156%252525C2%252525A78"/>
      <w:bookmarkEnd w:id="4"/>
      <w:bookmarkEnd w:id="5"/>
      <w:bookmarkEnd w:id="6"/>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7" w:name="art156%252525C2%252525A79"/>
      <w:bookmarkEnd w:id="7"/>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Termo de Referência;</w:t>
      </w:r>
    </w:p>
    <w:p>
      <w:pPr>
        <w:pStyle w:val="Normal"/>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pPr>
      <w:bookmarkStart w:id="8" w:name="__DdeLink__851_4197246490"/>
      <w:r>
        <w:rPr>
          <w:rFonts w:cs="Arial"/>
          <w:color w:val="000000"/>
          <w:szCs w:val="20"/>
        </w:rPr>
        <w:t>Manaus-AM, _____, de _________________ de 2022.</w:t>
      </w:r>
      <w:bookmarkEnd w:id="8"/>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jc w:val="both"/>
        <w:rPr>
          <w:rFonts w:cs="Arial"/>
          <w:b/>
          <w:b/>
          <w:bCs/>
          <w:iCs/>
          <w:color w:val="000000"/>
          <w:szCs w:val="20"/>
        </w:rPr>
      </w:pPr>
      <w:r>
        <w:rPr>
          <w:rFonts w:cs="Arial"/>
          <w:b/>
          <w:bCs/>
          <w:iCs/>
          <w:color w:val="000000"/>
          <w:szCs w:val="20"/>
        </w:rPr>
        <w:tab/>
        <w:tab/>
      </w:r>
    </w:p>
    <w:p>
      <w:pPr>
        <w:pStyle w:val="Normal"/>
        <w:ind w:left="357" w:right="-7" w:firstLine="567"/>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ANDRÉ LUIZ GRENTESKI – Cel</w:t>
      </w:r>
    </w:p>
    <w:p>
      <w:pPr>
        <w:sectPr>
          <w:type w:val="nextPage"/>
          <w:pgSz w:w="11906" w:h="16838"/>
          <w:pgMar w:left="720" w:right="720" w:header="0" w:top="720" w:footer="0" w:bottom="777" w:gutter="0"/>
          <w:pgNumType w:fmt="decimal"/>
          <w:formProt w:val="false"/>
          <w:textDirection w:val="lrTb"/>
          <w:docGrid w:type="default" w:linePitch="240" w:charSpace="0"/>
        </w:sectPr>
        <w:pStyle w:val="Normal"/>
        <w:spacing w:before="43" w:after="0"/>
        <w:ind w:left="357" w:right="-7" w:firstLine="567"/>
        <w:jc w:val="center"/>
        <w:rPr>
          <w:rFonts w:ascii="Times New Roman" w:hAnsi="Times New Roman" w:cs="Times New Roman"/>
          <w:sz w:val="22"/>
          <w:szCs w:val="22"/>
          <w:lang w:eastAsia="en-US"/>
        </w:rPr>
      </w:pPr>
      <w:r>
        <w:rPr>
          <w:rFonts w:cs="Times New Roman" w:ascii="Times New Roman" w:hAnsi="Times New Roman"/>
          <w:sz w:val="22"/>
          <w:szCs w:val="22"/>
          <w:lang w:eastAsia="en-US"/>
        </w:rPr>
        <w:t>Ordenador de Despesas</w:t>
      </w:r>
      <w:r>
        <w:rPr>
          <w:rFonts w:cs="Times New Roman" w:ascii="Times New Roman" w:hAnsi="Times New Roman"/>
          <w:spacing w:val="27"/>
          <w:sz w:val="22"/>
          <w:szCs w:val="22"/>
          <w:lang w:eastAsia="en-US"/>
        </w:rPr>
        <w:t xml:space="preserve"> do</w:t>
      </w:r>
      <w:r>
        <w:rPr>
          <w:rFonts w:cs="Times New Roman" w:ascii="Times New Roman" w:hAnsi="Times New Roman"/>
          <w:sz w:val="22"/>
          <w:szCs w:val="22"/>
          <w:lang w:eastAsia="en-US"/>
        </w:rPr>
        <w:t xml:space="preserve"> 4° BAvEx</w:t>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Normal"/>
        <w:rPr>
          <w:rFonts w:cs="Arial"/>
          <w:lang w:eastAsia="en-US"/>
        </w:rPr>
      </w:pPr>
      <w:r>
        <w:rPr>
          <w:rFonts w:cs="Arial"/>
          <w:lang w:eastAsia="en-US"/>
        </w:rPr>
      </w:r>
    </w:p>
    <w:p>
      <w:pPr>
        <w:pStyle w:val="PADRO"/>
        <w:keepNext w:val="fals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keepNext w:val="fals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
          <w:iCs/>
          <w:color w:val="000000" w:themeColor="text1"/>
          <w:szCs w:val="20"/>
        </w:rPr>
        <w:t>estadual e/ou municipal</w:t>
      </w:r>
      <w:r>
        <w:rPr>
          <w:rFonts w:cs="Arial"/>
          <w:color w:val="000000" w:themeColor="text1"/>
          <w:szCs w:val="20"/>
        </w:rPr>
        <w:t xml:space="preserve">, </w:t>
      </w:r>
      <w:r>
        <w:rPr>
          <w:rFonts w:cs="Arial"/>
          <w:color w:val="000000"/>
          <w:szCs w:val="20"/>
        </w:rPr>
        <w:t>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prova de regularidade com a Fazenda </w:t>
      </w:r>
      <w:r>
        <w:rPr>
          <w:rFonts w:cs="Arial"/>
          <w:i/>
          <w:iCs/>
          <w:color w:val="000000" w:themeColor="text1"/>
          <w:szCs w:val="20"/>
        </w:rPr>
        <w:t xml:space="preserve">Estadual e/ou Municipal </w:t>
      </w:r>
      <w:r>
        <w:rPr>
          <w:rFonts w:cs="Arial"/>
          <w:szCs w:val="20"/>
        </w:rPr>
        <w:t xml:space="preserve">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caso o fornecedor seja considerado isento dos tributos </w:t>
      </w:r>
      <w:r>
        <w:rPr>
          <w:rFonts w:cs="Arial"/>
          <w:i/>
          <w:color w:val="000000" w:themeColor="text1"/>
          <w:szCs w:val="20"/>
        </w:rPr>
        <w:t xml:space="preserve">estaduais </w:t>
      </w:r>
      <w:r>
        <w:rPr>
          <w:rFonts w:cs="Arial"/>
          <w:b/>
          <w:i/>
          <w:color w:val="000000" w:themeColor="text1"/>
          <w:szCs w:val="20"/>
          <w:u w:val="single"/>
        </w:rPr>
        <w:t xml:space="preserve">ou </w:t>
      </w:r>
      <w:r>
        <w:rPr>
          <w:rFonts w:cs="Arial"/>
          <w:i/>
          <w:color w:val="000000" w:themeColor="text1"/>
          <w:szCs w:val="20"/>
        </w:rPr>
        <w:t xml:space="preserve">municipais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val="false"/>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4" w:type="dxa"/>
        <w:tblCellMar>
          <w:top w:w="0" w:type="dxa"/>
          <w:left w:w="123" w:type="dxa"/>
          <w:bottom w:w="0" w:type="dxa"/>
          <w:right w:w="108" w:type="dxa"/>
        </w:tblCellMar>
        <w:tblLook w:val="04a0"/>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4" w:type="dxa"/>
        <w:tblCellMar>
          <w:top w:w="0" w:type="dxa"/>
          <w:left w:w="123" w:type="dxa"/>
          <w:bottom w:w="0" w:type="dxa"/>
          <w:right w:w="108" w:type="dxa"/>
        </w:tblCellMar>
        <w:tblLook w:val="04a0"/>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SG =</w:t>
            </w:r>
          </w:p>
        </w:tc>
        <w:tc>
          <w:tcPr>
            <w:tcW w:w="4394"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4"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4" w:type="dxa"/>
        <w:tblCellMar>
          <w:top w:w="0" w:type="dxa"/>
          <w:left w:w="123" w:type="dxa"/>
          <w:bottom w:w="0" w:type="dxa"/>
          <w:right w:w="108" w:type="dxa"/>
        </w:tblCellMar>
        <w:tblLook w:val="04a0"/>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000000" w:themeColor="text1"/>
          <w:szCs w:val="20"/>
        </w:rPr>
        <w:t xml:space="preserve">5% (cinco por cento) </w:t>
      </w:r>
      <w:r>
        <w:rPr>
          <w:rFonts w:cs="Arial"/>
          <w:color w:val="000000" w:themeColor="text1"/>
          <w:szCs w:val="20"/>
        </w:rPr>
        <w:t xml:space="preserve">do </w:t>
      </w:r>
      <w:r>
        <w:rPr>
          <w:rFonts w:cs="Arial"/>
          <w:color w:val="000000"/>
          <w:szCs w:val="20"/>
        </w:rPr>
        <w:t xml:space="preserve">valor total estimado da contratação ou do item pertinente. </w:t>
      </w:r>
    </w:p>
    <w:p>
      <w:pPr>
        <w:pStyle w:val="PADRO"/>
        <w:keepNext w:val="false"/>
        <w:widowControl/>
        <w:shd w:val="clear" w:fill="FFFFFF"/>
        <w:spacing w:before="120" w:after="120"/>
        <w:ind w:left="2421" w:hanging="0"/>
        <w:rPr/>
      </w:pPr>
      <w:r>
        <w:rPr/>
      </w:r>
    </w:p>
    <w:sectPr>
      <w:footerReference w:type="default" r:id="rId6"/>
      <w:type w:val="nextPage"/>
      <w:pgSz w:w="11906" w:h="16838"/>
      <w:pgMar w:left="1701" w:right="1701"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Fonts w:ascii="Arial" w:hAnsi="Arial"/>
      </w:rPr>
    </w:lvl>
    <w:lvl w:ilvl="2">
      <w:start w:val="1"/>
      <w:numFmt w:val="decimal"/>
      <w:lvlText w:val="%1.%2.%3."/>
      <w:lvlJc w:val="left"/>
      <w:pPr>
        <w:ind w:left="1224" w:hanging="504"/>
      </w:pPr>
      <w:rPr>
        <w:i w:val="false"/>
        <w:b/>
        <w:iCs/>
        <w:rFonts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Pr>
    </w:lvl>
    <w:lvl w:ilvl="2">
      <w:start w:val="1"/>
      <w:numFmt w:val="decimal"/>
      <w:lvlText w:val="%1.%2.%3"/>
      <w:lvlJc w:val="left"/>
      <w:pPr>
        <w:ind w:left="1854" w:hanging="720"/>
      </w:pPr>
      <w:rPr>
        <w:b w:val="false"/>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cs="Arial"/>
      <w:b/>
      <w:i w:val="false"/>
      <w:iCs/>
      <w:color w:val="auto"/>
    </w:rPr>
  </w:style>
  <w:style w:type="character" w:styleId="ListLabel4">
    <w:name w:val="ListLabel 4"/>
    <w:qFormat/>
    <w:rPr>
      <w:rFonts w:cs="Arial"/>
    </w:rPr>
  </w:style>
  <w:style w:type="character" w:styleId="ListLabel5">
    <w:name w:val="ListLabel 5"/>
    <w:qFormat/>
    <w:rPr>
      <w:color w:val="auto"/>
    </w:rPr>
  </w:style>
  <w:style w:type="character" w:styleId="ListLabel6">
    <w:name w:val="ListLabel 6"/>
    <w:qFormat/>
    <w:rPr>
      <w:color w:val="auto"/>
    </w:rPr>
  </w:style>
  <w:style w:type="character" w:styleId="ListLabel7">
    <w:name w:val="ListLabel 7"/>
    <w:qFormat/>
    <w:rPr>
      <w:color w:val="auto"/>
    </w:rPr>
  </w:style>
  <w:style w:type="character" w:styleId="ListLabel8">
    <w:name w:val="ListLabel 8"/>
    <w:qFormat/>
    <w:rPr>
      <w:color w:val="auto"/>
    </w:rPr>
  </w:style>
  <w:style w:type="character" w:styleId="ListLabel9">
    <w:name w:val="ListLabel 9"/>
    <w:qFormat/>
    <w:rPr>
      <w:color w:val="auto"/>
    </w:rPr>
  </w:style>
  <w:style w:type="character" w:styleId="ListLabel10">
    <w:name w:val="ListLabel 10"/>
    <w:qFormat/>
    <w:rPr>
      <w:color w:val="auto"/>
    </w:rPr>
  </w:style>
  <w:style w:type="character" w:styleId="ListLabel11">
    <w:name w:val="ListLabel 11"/>
    <w:qFormat/>
    <w:rPr>
      <w:color w:val="auto"/>
    </w:rPr>
  </w:style>
  <w:style w:type="character" w:styleId="ListLabel12">
    <w:name w:val="ListLabel 12"/>
    <w:qFormat/>
    <w:rPr>
      <w:color w:val="auto"/>
    </w:rPr>
  </w:style>
  <w:style w:type="character" w:styleId="ListLabel13">
    <w:name w:val="ListLabel 13"/>
    <w:qFormat/>
    <w:rPr>
      <w:color w:val="auto"/>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auto"/>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auto"/>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auto"/>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auto"/>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auto"/>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auto"/>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b/>
    </w:rPr>
  </w:style>
  <w:style w:type="character" w:styleId="ListLabel49">
    <w:name w:val="ListLabel 49"/>
    <w:qFormat/>
    <w:rPr>
      <w:b w:val="false"/>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auto"/>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auto"/>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auto"/>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auto"/>
    </w:rPr>
  </w:style>
  <w:style w:type="character" w:styleId="ListLabel71">
    <w:name w:val="ListLabel 71"/>
    <w:qFormat/>
    <w:rPr>
      <w:rFonts w:eastAsia="Calibri" w:cs="Arial"/>
      <w:szCs w:val="20"/>
    </w:rPr>
  </w:style>
  <w:style w:type="character" w:styleId="ListLabel72">
    <w:name w:val="ListLabel 72"/>
    <w:qFormat/>
    <w:rPr>
      <w:rFonts w:eastAsia="Calibri" w:cs="Arial"/>
      <w:lang w:eastAsia="ar-SA"/>
    </w:rPr>
  </w:style>
  <w:style w:type="character" w:styleId="ListLabel73">
    <w:name w:val="ListLabel 73"/>
    <w:qFormat/>
    <w:rPr>
      <w:color w:val="000000"/>
    </w:rPr>
  </w:style>
  <w:style w:type="character" w:styleId="ListLabel74">
    <w:name w:val="ListLabel 74"/>
    <w:qFormat/>
    <w:rPr>
      <w:rFonts w:ascii="Arial" w:hAnsi="Arial"/>
      <w:b/>
    </w:rPr>
  </w:style>
  <w:style w:type="character" w:styleId="ListLabel75">
    <w:name w:val="ListLabel 75"/>
    <w:qFormat/>
    <w:rPr>
      <w:rFonts w:ascii="Arial" w:hAnsi="Arial"/>
      <w:b/>
      <w:i w:val="false"/>
      <w:iCs/>
    </w:rPr>
  </w:style>
  <w:style w:type="character" w:styleId="ListLabel76">
    <w:name w:val="ListLabel 76"/>
    <w:qFormat/>
    <w:rPr>
      <w:rFonts w:cs="Arial"/>
      <w:b/>
      <w:i w:val="false"/>
      <w:iCs/>
      <w:color w:val="auto"/>
    </w:rPr>
  </w:style>
  <w:style w:type="character" w:styleId="ListLabel77">
    <w:name w:val="ListLabel 77"/>
    <w:qFormat/>
    <w:rPr>
      <w:b/>
    </w:rPr>
  </w:style>
  <w:style w:type="character" w:styleId="ListLabel78">
    <w:name w:val="ListLabel 78"/>
    <w:qFormat/>
    <w:rPr>
      <w:b w:val="false"/>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cs="Arial"/>
      <w:b w:val="false"/>
      <w:i w:val="false"/>
      <w:iCs/>
      <w:color w:val="auto"/>
    </w:rPr>
  </w:style>
  <w:style w:type="character" w:styleId="ListLabel82">
    <w:name w:val="ListLabel 82"/>
    <w:qFormat/>
    <w:rPr>
      <w:b/>
    </w:rPr>
  </w:style>
  <w:style w:type="character" w:styleId="ListLabel83">
    <w:name w:val="ListLabel 83"/>
    <w:qFormat/>
    <w:rPr>
      <w:b w:val="false"/>
      <w:i w:val="false"/>
      <w:iCs/>
    </w:rPr>
  </w:style>
  <w:style w:type="character" w:styleId="ListLabel84">
    <w:name w:val="ListLabel 84"/>
    <w:qFormat/>
    <w:rPr>
      <w:b w:val="false"/>
      <w:i w:val="false"/>
      <w:iCs/>
      <w:color w:val="auto"/>
    </w:rPr>
  </w:style>
  <w:style w:type="character" w:styleId="ListLabel85">
    <w:name w:val="ListLabel 85"/>
    <w:qFormat/>
    <w:rPr>
      <w:rFonts w:eastAsia="Calibri" w:cs="Arial"/>
      <w:szCs w:val="20"/>
    </w:rPr>
  </w:style>
  <w:style w:type="character" w:styleId="ListLabel86">
    <w:name w:val="ListLabel 86"/>
    <w:qFormat/>
    <w:rPr>
      <w:rFonts w:eastAsia="Calibri" w:cs="Arial"/>
      <w:lang w:eastAsia="ar-SA"/>
    </w:rPr>
  </w:style>
  <w:style w:type="character" w:styleId="ListLabel87">
    <w:name w:val="ListLabel 87"/>
    <w:qFormat/>
    <w:rPr>
      <w:color w:val="000000"/>
    </w:rPr>
  </w:style>
  <w:style w:type="character" w:styleId="ListLabel88">
    <w:name w:val="ListLabel 88"/>
    <w:qFormat/>
    <w:rPr>
      <w:rFonts w:ascii="Arial" w:hAnsi="Arial"/>
      <w:b/>
    </w:rPr>
  </w:style>
  <w:style w:type="character" w:styleId="ListLabel89">
    <w:name w:val="ListLabel 89"/>
    <w:qFormat/>
    <w:rPr>
      <w:rFonts w:ascii="Arial" w:hAnsi="Arial"/>
      <w:b/>
      <w:i w:val="false"/>
      <w:iCs/>
    </w:rPr>
  </w:style>
  <w:style w:type="character" w:styleId="ListLabel90">
    <w:name w:val="ListLabel 90"/>
    <w:qFormat/>
    <w:rPr>
      <w:rFonts w:cs="Arial"/>
      <w:b/>
      <w:i w:val="false"/>
      <w:iCs/>
      <w:color w:val="auto"/>
    </w:rPr>
  </w:style>
  <w:style w:type="character" w:styleId="ListLabel91">
    <w:name w:val="ListLabel 91"/>
    <w:qFormat/>
    <w:rPr>
      <w:b/>
    </w:rPr>
  </w:style>
  <w:style w:type="character" w:styleId="ListLabel92">
    <w:name w:val="ListLabel 92"/>
    <w:qFormat/>
    <w:rPr>
      <w:b w:val="false"/>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rFonts w:cs="Arial"/>
      <w:b w:val="false"/>
      <w:i w:val="false"/>
      <w:iCs/>
      <w:color w:val="auto"/>
    </w:rPr>
  </w:style>
  <w:style w:type="character" w:styleId="ListLabel96">
    <w:name w:val="ListLabel 96"/>
    <w:qFormat/>
    <w:rPr>
      <w:b/>
    </w:rPr>
  </w:style>
  <w:style w:type="character" w:styleId="ListLabel97">
    <w:name w:val="ListLabel 97"/>
    <w:qFormat/>
    <w:rPr>
      <w:b w:val="false"/>
      <w:i w:val="false"/>
      <w:iCs/>
    </w:rPr>
  </w:style>
  <w:style w:type="character" w:styleId="ListLabel98">
    <w:name w:val="ListLabel 98"/>
    <w:qFormat/>
    <w:rPr>
      <w:b w:val="false"/>
      <w:i w:val="false"/>
      <w:iCs/>
      <w:color w:val="auto"/>
    </w:rPr>
  </w:style>
  <w:style w:type="character" w:styleId="ListLabel99">
    <w:name w:val="ListLabel 99"/>
    <w:qFormat/>
    <w:rPr>
      <w:rFonts w:eastAsia="Calibri" w:cs="Arial"/>
      <w:szCs w:val="20"/>
    </w:rPr>
  </w:style>
  <w:style w:type="character" w:styleId="ListLabel100">
    <w:name w:val="ListLabel 100"/>
    <w:qFormat/>
    <w:rPr>
      <w:rFonts w:eastAsia="Calibri" w:cs="Arial"/>
      <w:lang w:eastAsia="ar-SA"/>
    </w:rPr>
  </w:style>
  <w:style w:type="character" w:styleId="ListLabel101">
    <w:name w:val="ListLabel 101"/>
    <w:qFormat/>
    <w:rPr>
      <w:color w:val="000000"/>
    </w:rPr>
  </w:style>
  <w:style w:type="character" w:styleId="ListLabel102">
    <w:name w:val="ListLabel 102"/>
    <w:qFormat/>
    <w:rPr>
      <w:rFonts w:ascii="Arial" w:hAnsi="Arial"/>
      <w:b/>
    </w:rPr>
  </w:style>
  <w:style w:type="character" w:styleId="ListLabel103">
    <w:name w:val="ListLabel 103"/>
    <w:qFormat/>
    <w:rPr>
      <w:rFonts w:ascii="Arial" w:hAnsi="Arial"/>
      <w:b/>
      <w:i w:val="false"/>
      <w:iCs/>
    </w:rPr>
  </w:style>
  <w:style w:type="character" w:styleId="ListLabel104">
    <w:name w:val="ListLabel 104"/>
    <w:qFormat/>
    <w:rPr>
      <w:rFonts w:cs="Arial"/>
      <w:b/>
      <w:i w:val="false"/>
      <w:iCs/>
      <w:color w:val="auto"/>
    </w:rPr>
  </w:style>
  <w:style w:type="character" w:styleId="ListLabel105">
    <w:name w:val="ListLabel 105"/>
    <w:qFormat/>
    <w:rPr>
      <w:b/>
    </w:rPr>
  </w:style>
  <w:style w:type="character" w:styleId="ListLabel106">
    <w:name w:val="ListLabel 106"/>
    <w:qFormat/>
    <w:rPr>
      <w:b w:val="false"/>
    </w:rPr>
  </w:style>
  <w:style w:type="character" w:styleId="ListLabel107">
    <w:name w:val="ListLabel 107"/>
    <w:qFormat/>
    <w:rPr>
      <w:b/>
    </w:rPr>
  </w:style>
  <w:style w:type="character" w:styleId="ListLabel108">
    <w:name w:val="ListLabel 108"/>
    <w:qFormat/>
    <w:rPr>
      <w:b w:val="false"/>
      <w:i w:val="false"/>
      <w:iCs/>
    </w:rPr>
  </w:style>
  <w:style w:type="character" w:styleId="ListLabel109">
    <w:name w:val="ListLabel 109"/>
    <w:qFormat/>
    <w:rPr>
      <w:rFonts w:cs="Arial"/>
      <w:b w:val="false"/>
      <w:i w:val="false"/>
      <w:iCs/>
      <w:color w:val="auto"/>
    </w:rPr>
  </w:style>
  <w:style w:type="character" w:styleId="ListLabel110">
    <w:name w:val="ListLabel 110"/>
    <w:qFormat/>
    <w:rPr>
      <w:b/>
    </w:rPr>
  </w:style>
  <w:style w:type="character" w:styleId="ListLabel111">
    <w:name w:val="ListLabel 111"/>
    <w:qFormat/>
    <w:rPr>
      <w:b w:val="false"/>
      <w:i w:val="false"/>
      <w:iCs/>
    </w:rPr>
  </w:style>
  <w:style w:type="character" w:styleId="ListLabel112">
    <w:name w:val="ListLabel 112"/>
    <w:qFormat/>
    <w:rPr>
      <w:b w:val="false"/>
      <w:i w:val="false"/>
      <w:iCs/>
      <w:color w:val="auto"/>
    </w:rPr>
  </w:style>
  <w:style w:type="character" w:styleId="ListLabel113">
    <w:name w:val="ListLabel 113"/>
    <w:qFormat/>
    <w:rPr>
      <w:rFonts w:eastAsia="Calibri" w:cs="Arial"/>
      <w:szCs w:val="20"/>
    </w:rPr>
  </w:style>
  <w:style w:type="character" w:styleId="ListLabel114">
    <w:name w:val="ListLabel 114"/>
    <w:qFormat/>
    <w:rPr>
      <w:rFonts w:eastAsia="Calibri" w:cs="Arial"/>
      <w:lang w:eastAsia="ar-SA"/>
    </w:rPr>
  </w:style>
  <w:style w:type="character" w:styleId="ListLabel115">
    <w:name w:val="ListLabel 115"/>
    <w:qFormat/>
    <w:rPr>
      <w:color w:val="00000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Standard" w:customStyle="1">
    <w:name w:val="Standard"/>
    <w:qFormat/>
    <w:rsid w:val="00040e63"/>
    <w:pPr>
      <w:widowControl/>
      <w:suppressAutoHyphens w:val="true"/>
      <w:bidi w:val="0"/>
      <w:jc w:val="left"/>
      <w:textAlignment w:val="baseline"/>
    </w:pPr>
    <w:rPr>
      <w:rFonts w:ascii="Calibri" w:hAnsi="Calibri" w:eastAsia="Calibri" w:cs="DejaVu Sans" w:asciiTheme="minorHAnsi" w:eastAsiaTheme="minorHAnsi" w:hAnsiTheme="minorHAnsi"/>
      <w:color w:val="auto"/>
      <w:kern w:val="0"/>
      <w:sz w:val="20"/>
      <w:szCs w:val="22"/>
      <w:lang w:val="pt-BR"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Application>LibreOffice/6.0.7.3$Linux_X86_64 LibreOffice_project/00m0$Build-3</Application>
  <Pages>10</Pages>
  <Words>5038</Words>
  <Characters>29030</Characters>
  <CharactersWithSpaces>33709</CharactersWithSpaces>
  <Paragraphs>228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dcterms:modified xsi:type="dcterms:W3CDTF">2022-05-09T13:09:49Z</dcterms:modified>
  <cp:revision>90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